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09" w:rsidRPr="000F5CA2" w:rsidRDefault="000F5CA2" w:rsidP="000F5CA2">
      <w:pPr>
        <w:rPr>
          <w:rFonts w:hint="cs"/>
          <w:b/>
          <w:bCs/>
          <w:sz w:val="28"/>
          <w:szCs w:val="28"/>
          <w:rtl/>
        </w:rPr>
      </w:pPr>
      <w:r w:rsidRPr="000F5CA2">
        <w:rPr>
          <w:rFonts w:hint="cs"/>
          <w:b/>
          <w:bCs/>
          <w:sz w:val="28"/>
          <w:szCs w:val="28"/>
          <w:rtl/>
        </w:rPr>
        <w:t>مقالات مرکز سلولی و مولکولی سال2021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Porphyrin-Based Nanostructures for Cancer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Chemistry, Fundamentals and Recent Advances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Unexpected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dihydropyridinium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derivatives using a multicomponent reaction containing unprotected amino acids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Novel perspectives towards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rna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-based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nano-theranostic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approaches for cancer management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advances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bionanomaterials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against gestational diabetes mellitus: A preliminary review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Quantum dots: Synthesis, antibody conjugation, and her2-receptor targeting for breast cancer therapy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In vitro and in vivo anticancer effect of pH-responsive paclitaxel-loaded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niosomes</w:t>
      </w:r>
      <w:proofErr w:type="spellEnd"/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New Insights into the Importance of Long Non-Coding RNAs in Lung Cancer: Future Clinical Approaches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Relationship Between CASP9 and CASP10 Gene Polymorphisms and Cancer Susceptibility: Evidence from an Updated Meta-analysis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HIF-1alpha and VEGF polymorphisms and systemic lupus erythematosus susceptibility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The Association study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eNOS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4a/b and G1190T variant with Iranian male infertility: A case-control study and computational 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Amino acids, peptides, and proteins: Implications for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nanotechnological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applications 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biosensing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and drug/gene delivery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Genetic variants of HOTAIR are associated with susceptibility to recurrent spontaneous abortion: A preliminary case-control study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New insights into the application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nanoghosts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as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tools with an emphasis on cardiovascular diseases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Nanomaterials in the management of gram-negative bacterial infections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9D149C">
        <w:rPr>
          <w:rFonts w:asciiTheme="majorBidi" w:hAnsiTheme="majorBidi" w:cstheme="majorBidi"/>
          <w:sz w:val="20"/>
          <w:szCs w:val="20"/>
        </w:rPr>
        <w:t>CoNi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alloy nanoparticles for cancer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synthesis, physical characterization, in vitro and in vivo studies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Application of nanoparticles in cancer therapy with an emphasis on cell cycle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9D149C">
        <w:rPr>
          <w:rFonts w:asciiTheme="majorBidi" w:hAnsiTheme="majorBidi" w:cstheme="majorBidi"/>
          <w:sz w:val="20"/>
          <w:szCs w:val="20"/>
        </w:rPr>
        <w:t>Withania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coagulans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extract attenuates oxidative stress-mediated apoptosis of cerebellar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purkinje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neurons after ischemia/reperfusion injury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Preparation of pH-Responsive Vesicular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Deferasirox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: Evidence from 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, in Vitro, and in Vivo Evaluations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Synthesis, characterization, toxicity and morphology assessments of newly prepared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microemulsion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systems for delivery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valproic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acid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Multi-functionalized nanomaterials and nanoparticles for diagnosis and treatment of retinoblastoma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Simulation, in vitro, and in vivo cytotoxicity assessments of methotrexate-loaded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ph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-responsive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nanocarriers</w:t>
      </w:r>
      <w:proofErr w:type="spellEnd"/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The role of autophagy in controlling SARS-CoV-2 infection: An overview on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virophagy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-mediated molecular drug targets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An updated review on implications of autophagy and apoptosis in tumorigenesis: Possible alterations in autophagy through engineered nanomaterials and their importance in cancer therapy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Long-term administration of metformin ameliorates age-dependent oxidative stress and cognitive function in rats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SIRT1 functional polymorphisms (rs12778366, rs3758391) as genetic biomarkers of susceptibility to type 2 diabetes mellitus in Iranians: a case-control study and computational 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Chromium (III) Complexes of 4,5-diazafluoren-9-one Ligand as Potential Anti-</w:t>
      </w:r>
      <w:proofErr w:type="gramStart"/>
      <w:r w:rsidRPr="009D149C">
        <w:rPr>
          <w:rFonts w:asciiTheme="majorBidi" w:hAnsiTheme="majorBidi" w:cstheme="majorBidi"/>
          <w:sz w:val="20"/>
          <w:szCs w:val="20"/>
        </w:rPr>
        <w:t>proliferative</w:t>
      </w:r>
      <w:proofErr w:type="gramEnd"/>
      <w:r w:rsidRPr="009D149C">
        <w:rPr>
          <w:rFonts w:asciiTheme="majorBidi" w:hAnsiTheme="majorBidi" w:cstheme="majorBidi"/>
          <w:sz w:val="20"/>
          <w:szCs w:val="20"/>
        </w:rPr>
        <w:t xml:space="preserve"> Agents: Synthesis, Characterization, DNA Binding, Molecular Docking and In-vitro Cytotoxicity Evaluation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Polymorphism of the DNA repair gene XDP increases the risk of systemic lupus erythematosus but not multiple sclerosis in the Iranian population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9D149C">
        <w:rPr>
          <w:rFonts w:asciiTheme="majorBidi" w:hAnsiTheme="majorBidi" w:cstheme="majorBidi"/>
          <w:sz w:val="20"/>
          <w:szCs w:val="20"/>
        </w:rPr>
        <w:t>Conizn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conife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nanoparticles: Synthesis, physical characterization, and in vitro cytotoxicity evaluations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Nanotechnology for inflammatory bowel disease management: Detection, imaging and treatment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Significant association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LXRbeta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(NR1H2) polymorphisms (rs28514894, rs2303044) with type 2 diabetes mellitus and laboratory characteristics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Effect of pre-meal water intake on the serum levels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Copeptin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, glycemic control, lipid profile and anthropometric indices in patients with type 2 diabetes mellitus: a randomized, controlled trial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8-Alkylmercaptocaffeine derivatives: antioxidant, molecular docking, and in-vitro cytotoxicity studies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lastRenderedPageBreak/>
        <w:t>Functional miR29a polymorphism is associated with protection against recurrent spontaneous abortion: A case-control study and bioinformatics 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Functional miR143/145 Cluster Variants and Haplotypes Are Associated with Chronic Kidney Disease: </w:t>
      </w:r>
      <w:proofErr w:type="gramStart"/>
      <w:r w:rsidRPr="009D149C">
        <w:rPr>
          <w:rFonts w:asciiTheme="majorBidi" w:hAnsiTheme="majorBidi" w:cstheme="majorBidi"/>
          <w:sz w:val="20"/>
          <w:szCs w:val="20"/>
        </w:rPr>
        <w:t>a</w:t>
      </w:r>
      <w:proofErr w:type="gramEnd"/>
      <w:r w:rsidRPr="009D149C">
        <w:rPr>
          <w:rFonts w:asciiTheme="majorBidi" w:hAnsiTheme="majorBidi" w:cstheme="majorBidi"/>
          <w:sz w:val="20"/>
          <w:szCs w:val="20"/>
        </w:rPr>
        <w:t xml:space="preserve"> Preliminary Case-Control Study and Computational Analyses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Application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Nanobiotechnology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for Early Diagnosis of SARS-CoV-2 Infection in the COVID-19 Pandemic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F127/cisplatin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microemulsions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In vitro, in vivo and computational studies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Biochemical, ameliorative and cytotoxic effects of newly synthesized curcumin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microemulsions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Evidence from in vitro and in vivo studies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Salivary lactate dehydrogenase, c-reactive protein, and cancer antigen 125 levels in patients with oral lichen planus and oral squamous cell carcinoma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Assessment of SnFe2O4 nanoparticles for potential application 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Synthesis, characterization, in vitro, and in vivo toxicity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Recent advances in nanotechnology-based diagnosis and treatments of human osteosarcoma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9D149C">
        <w:rPr>
          <w:rFonts w:asciiTheme="majorBidi" w:hAnsiTheme="majorBidi" w:cstheme="majorBidi"/>
          <w:sz w:val="20"/>
          <w:szCs w:val="20"/>
        </w:rPr>
        <w:t>Deferasirox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-loaded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pluronic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nanomicelles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Synthesis, characterization, in vitro and in vivo studies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Application of nanotechnology for sensitive detection of low-abundance single-nucleotide variations in genomic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dna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A review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Recent advances in iron oxide nanoparticles for brain cancer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theranostics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: from in vitro to clinical applications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Relationship between Functional miR-143/145 Cluster Variants and Susceptibility to Type 2 Diabetes Mellitus: A Preliminary Case-Control Study and Bioinformatics Analyses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Active targeted nanoparticles for delivery of </w:t>
      </w:r>
      <w:proofErr w:type="gramStart"/>
      <w:r w:rsidRPr="009D149C">
        <w:rPr>
          <w:rFonts w:asciiTheme="majorBidi" w:hAnsiTheme="majorBidi" w:cstheme="majorBidi"/>
          <w:sz w:val="20"/>
          <w:szCs w:val="20"/>
        </w:rPr>
        <w:t>poly(</w:t>
      </w:r>
      <w:proofErr w:type="spellStart"/>
      <w:proofErr w:type="gramEnd"/>
      <w:r w:rsidRPr="009D149C">
        <w:rPr>
          <w:rFonts w:asciiTheme="majorBidi" w:hAnsiTheme="majorBidi" w:cstheme="majorBidi"/>
          <w:sz w:val="20"/>
          <w:szCs w:val="20"/>
        </w:rPr>
        <w:t>Adp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ribose) polymerase (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parp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>) inhibitors: A preliminary review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Relationship between miR-143/145 cluster variations and cancer risk: proof from a Meta-analysis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Long non-coding RNA ANRIL polymorphisms in papillary thyroid cancer and its severity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Relationship between p2xr4 gene variants and the risk of schizophrenia in south-east of Iran: A preliminary case-control study and 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Association between common variants in vitamin D receptor gene and susceptibility to Non-Hodgkin's lymphoma: a case-control study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Association of IL-1 beta, NLRP3, and COX-2 Gene Polymorphisms with Autoimmune Thyroid Disease Risk and Clinical Features in the Iranian Population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Association of a novel KIF26B gene polymorphism with susceptibility to schizophrenia and breast cancer: A case-control study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Cannabinoid receptor type-1 and its correlation with CB1 gene polymorphism-1359G/A in ectopic pregnancy compared to the control group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IL1A and IL1B gene polymorphisms and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keratoconus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susceptibility: evidence from an updated meta-analysis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Quantitative assessment of the effects of IL-1ss -511 C&gt;T variant on breast cancer risk: An updated meta-analysis of 3331 cases and 3609 controls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>Relationship between common interleukin 1-beta gene polymorphisms and the risk of gestational disorders: An updated meta-analysis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9D149C">
        <w:rPr>
          <w:rFonts w:asciiTheme="majorBidi" w:hAnsiTheme="majorBidi" w:cstheme="majorBidi"/>
          <w:sz w:val="20"/>
          <w:szCs w:val="20"/>
        </w:rPr>
        <w:t>An evaluation of Short-term Treatment Outcomes of Cricothyroid Visor Maneuver: A Proof-of-Concept Pilot Study</w:t>
      </w:r>
    </w:p>
    <w:p w:rsidR="000F5CA2" w:rsidRPr="009D149C" w:rsidRDefault="000F5CA2" w:rsidP="000F5CA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9D149C">
        <w:rPr>
          <w:rFonts w:asciiTheme="majorBidi" w:hAnsiTheme="majorBidi" w:cstheme="majorBidi"/>
          <w:sz w:val="20"/>
          <w:szCs w:val="20"/>
        </w:rPr>
        <w:t xml:space="preserve">The Effect of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Renalase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rs2576178 and rs10887800 Polymorphisms on Ischemic Stroke Susceptibility in Young Patients (&lt;50 Years): A Case-Control Study and in </w:t>
      </w:r>
      <w:proofErr w:type="spellStart"/>
      <w:r w:rsidRPr="009D149C">
        <w:rPr>
          <w:rFonts w:asciiTheme="majorBidi" w:hAnsiTheme="majorBidi" w:cstheme="majorBidi"/>
          <w:sz w:val="20"/>
          <w:szCs w:val="20"/>
        </w:rPr>
        <w:t>Silico</w:t>
      </w:r>
      <w:proofErr w:type="spellEnd"/>
      <w:r w:rsidRPr="009D149C">
        <w:rPr>
          <w:rFonts w:asciiTheme="majorBidi" w:hAnsiTheme="majorBidi" w:cstheme="majorBidi"/>
          <w:sz w:val="20"/>
          <w:szCs w:val="20"/>
        </w:rPr>
        <w:t xml:space="preserve"> Analysis</w:t>
      </w:r>
    </w:p>
    <w:p w:rsidR="000F5CA2" w:rsidRDefault="000F5CA2" w:rsidP="000F5CA2">
      <w:pPr>
        <w:pStyle w:val="ListParagraph"/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</w:pPr>
    </w:p>
    <w:p w:rsidR="000F5CA2" w:rsidRDefault="000F5CA2" w:rsidP="000F5CA2">
      <w:pPr>
        <w:bidi w:val="0"/>
        <w:rPr>
          <w:rFonts w:hint="cs"/>
        </w:rPr>
      </w:pPr>
    </w:p>
    <w:sectPr w:rsidR="000F5CA2" w:rsidSect="00116E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A5888"/>
    <w:multiLevelType w:val="hybridMultilevel"/>
    <w:tmpl w:val="34F4E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71"/>
    <w:rsid w:val="000F5CA2"/>
    <w:rsid w:val="00116EF9"/>
    <w:rsid w:val="00965A71"/>
    <w:rsid w:val="009D149C"/>
    <w:rsid w:val="00C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C2E68E"/>
  <w15:chartTrackingRefBased/>
  <w15:docId w15:val="{ABF2845A-19C7-48A4-9956-B9810C2B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2023-07-06T06:07:00Z</dcterms:created>
  <dcterms:modified xsi:type="dcterms:W3CDTF">2023-07-06T06:23:00Z</dcterms:modified>
</cp:coreProperties>
</file>